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B3550A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3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этап Чемпионата и Первенства, Кубка Челябинск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, 20-21.08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.2022, г.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Снежинск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B3550A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3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 xml:space="preserve"> этап Чемпионата и Первенства, Кубка Челябинск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>
                                <w:rPr>
                                  <w:sz w:val="34"/>
                                  <w:szCs w:val="34"/>
                                </w:rPr>
                                <w:t>, 20-21.08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.2022, г.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Снежинск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bookmarkStart w:id="1" w:name="_GoBack"/>
                              <w:bookmarkEnd w:id="1"/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29227B"/>
    <w:rsid w:val="004D72E7"/>
    <w:rsid w:val="006D2704"/>
    <w:rsid w:val="008148B4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2022-07-20T08:23:00Z</dcterms:created>
  <dcterms:modified xsi:type="dcterms:W3CDTF">2022-07-20T08:23:00Z</dcterms:modified>
</cp:coreProperties>
</file>